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34D5D" w14:textId="77777777" w:rsidR="0083458C" w:rsidRDefault="0083458C" w:rsidP="0083458C">
      <w:pPr>
        <w:rPr>
          <w:sz w:val="22"/>
          <w:szCs w:val="22"/>
        </w:rPr>
      </w:pPr>
      <w:r>
        <w:rPr>
          <w:sz w:val="22"/>
          <w:szCs w:val="22"/>
        </w:rPr>
        <w:t>Dear Shareholders,</w:t>
      </w:r>
    </w:p>
    <w:p w14:paraId="6F2BE204" w14:textId="77777777" w:rsidR="0083458C" w:rsidRDefault="0083458C" w:rsidP="0083458C">
      <w:pPr>
        <w:rPr>
          <w:sz w:val="22"/>
          <w:szCs w:val="22"/>
        </w:rPr>
      </w:pPr>
    </w:p>
    <w:p w14:paraId="018AAFC3" w14:textId="77777777" w:rsidR="0083458C" w:rsidRDefault="0083458C" w:rsidP="0083458C">
      <w:pPr>
        <w:rPr>
          <w:sz w:val="22"/>
          <w:szCs w:val="22"/>
        </w:rPr>
      </w:pPr>
      <w:r>
        <w:rPr>
          <w:sz w:val="22"/>
          <w:szCs w:val="22"/>
        </w:rPr>
        <w:t>On 30</w:t>
      </w:r>
      <w:r>
        <w:rPr>
          <w:sz w:val="22"/>
          <w:szCs w:val="22"/>
          <w:vertAlign w:val="superscript"/>
        </w:rPr>
        <w:t>th</w:t>
      </w:r>
      <w:r>
        <w:rPr>
          <w:sz w:val="22"/>
          <w:szCs w:val="22"/>
        </w:rPr>
        <w:t xml:space="preserve"> June 2020 I circulated a notice informing all shareholders of our intention to commence a £5m equity fundraise and you were invited to participate at a price of £18.50 per share, equalling a pre money valuation of </w:t>
      </w:r>
      <w:proofErr w:type="spellStart"/>
      <w:r>
        <w:rPr>
          <w:sz w:val="22"/>
          <w:szCs w:val="22"/>
        </w:rPr>
        <w:t>Centtrip</w:t>
      </w:r>
      <w:proofErr w:type="spellEnd"/>
      <w:r>
        <w:rPr>
          <w:sz w:val="22"/>
          <w:szCs w:val="22"/>
        </w:rPr>
        <w:t xml:space="preserve"> of ~£30m.</w:t>
      </w:r>
    </w:p>
    <w:p w14:paraId="40858C81" w14:textId="77777777" w:rsidR="0083458C" w:rsidRDefault="0083458C" w:rsidP="0083458C">
      <w:pPr>
        <w:rPr>
          <w:sz w:val="22"/>
          <w:szCs w:val="22"/>
        </w:rPr>
      </w:pPr>
    </w:p>
    <w:p w14:paraId="5E6C0156" w14:textId="77777777" w:rsidR="0083458C" w:rsidRDefault="0083458C" w:rsidP="0083458C">
      <w:pPr>
        <w:rPr>
          <w:sz w:val="22"/>
          <w:szCs w:val="22"/>
        </w:rPr>
      </w:pPr>
      <w:r>
        <w:rPr>
          <w:sz w:val="22"/>
          <w:szCs w:val="22"/>
        </w:rPr>
        <w:t>As at 31</w:t>
      </w:r>
      <w:r>
        <w:rPr>
          <w:sz w:val="22"/>
          <w:szCs w:val="22"/>
          <w:vertAlign w:val="superscript"/>
        </w:rPr>
        <w:t>st</w:t>
      </w:r>
      <w:r>
        <w:rPr>
          <w:sz w:val="22"/>
          <w:szCs w:val="22"/>
        </w:rPr>
        <w:t xml:space="preserve"> January 2021, we have successfully raised £2.5m by the issue of new equity to existing and new shareholders.  </w:t>
      </w:r>
    </w:p>
    <w:p w14:paraId="707C28B1" w14:textId="77777777" w:rsidR="0083458C" w:rsidRDefault="0083458C" w:rsidP="0083458C">
      <w:pPr>
        <w:rPr>
          <w:sz w:val="22"/>
          <w:szCs w:val="22"/>
        </w:rPr>
      </w:pPr>
    </w:p>
    <w:p w14:paraId="6631F015" w14:textId="77777777" w:rsidR="0083458C" w:rsidRDefault="0083458C" w:rsidP="0083458C">
      <w:pPr>
        <w:rPr>
          <w:sz w:val="22"/>
          <w:szCs w:val="22"/>
        </w:rPr>
      </w:pPr>
      <w:r>
        <w:rPr>
          <w:sz w:val="22"/>
          <w:szCs w:val="22"/>
        </w:rPr>
        <w:t xml:space="preserve">I am delighted to announce we have now received credit approval from Clydesdale Bank’s Virgin Growth Fund for a debt facility of £2m. The security requested by Clydesdale does not encumber the equity of </w:t>
      </w:r>
      <w:proofErr w:type="spellStart"/>
      <w:r>
        <w:rPr>
          <w:sz w:val="22"/>
          <w:szCs w:val="22"/>
        </w:rPr>
        <w:t>Centtrip</w:t>
      </w:r>
      <w:proofErr w:type="spellEnd"/>
      <w:r>
        <w:rPr>
          <w:sz w:val="22"/>
          <w:szCs w:val="22"/>
        </w:rPr>
        <w:t xml:space="preserve"> in any way.  Our ability to qualify for this kind of banking facility clearly underlines the credit worthiness of the business and confidence they have in our future.</w:t>
      </w:r>
    </w:p>
    <w:p w14:paraId="24D4311E" w14:textId="77777777" w:rsidR="0083458C" w:rsidRDefault="0083458C" w:rsidP="0083458C">
      <w:pPr>
        <w:rPr>
          <w:sz w:val="22"/>
          <w:szCs w:val="22"/>
        </w:rPr>
      </w:pPr>
    </w:p>
    <w:p w14:paraId="7B6D1D6B" w14:textId="77777777" w:rsidR="0083458C" w:rsidRDefault="0083458C" w:rsidP="0083458C">
      <w:pPr>
        <w:rPr>
          <w:sz w:val="22"/>
          <w:szCs w:val="22"/>
        </w:rPr>
      </w:pPr>
      <w:r>
        <w:rPr>
          <w:sz w:val="22"/>
          <w:szCs w:val="22"/>
        </w:rPr>
        <w:t>This debt funding has brought our overall fundraising efforts to the total of £4.5m. The use of debt has reduced the potential dilution posed for all shareholders had the entirety of the proposed £5m round come from equity alone.</w:t>
      </w:r>
    </w:p>
    <w:p w14:paraId="240E83B0" w14:textId="77777777" w:rsidR="0083458C" w:rsidRDefault="0083458C" w:rsidP="0083458C">
      <w:pPr>
        <w:rPr>
          <w:sz w:val="22"/>
          <w:szCs w:val="22"/>
        </w:rPr>
      </w:pPr>
    </w:p>
    <w:p w14:paraId="5BDECD7A" w14:textId="77777777" w:rsidR="0083458C" w:rsidRDefault="0083458C" w:rsidP="0083458C">
      <w:pPr>
        <w:rPr>
          <w:sz w:val="22"/>
          <w:szCs w:val="22"/>
        </w:rPr>
      </w:pPr>
      <w:r>
        <w:rPr>
          <w:sz w:val="22"/>
          <w:szCs w:val="22"/>
        </w:rPr>
        <w:t xml:space="preserve">In conjunction with completion of the debt facility, the Board has the desire to complete the full £5m fundraising thereby directing the management team to focus exclusively on driving business growth this year, including launching and operating in the USA by early Q3 2021. </w:t>
      </w:r>
    </w:p>
    <w:p w14:paraId="0D7DB9A9" w14:textId="77777777" w:rsidR="0083458C" w:rsidRDefault="0083458C" w:rsidP="0083458C">
      <w:pPr>
        <w:rPr>
          <w:sz w:val="22"/>
          <w:szCs w:val="22"/>
        </w:rPr>
      </w:pPr>
    </w:p>
    <w:p w14:paraId="2B4830EF" w14:textId="77777777" w:rsidR="0083458C" w:rsidRDefault="0083458C" w:rsidP="0083458C">
      <w:pPr>
        <w:rPr>
          <w:b/>
          <w:bCs/>
          <w:sz w:val="22"/>
          <w:szCs w:val="22"/>
        </w:rPr>
      </w:pPr>
      <w:r>
        <w:rPr>
          <w:b/>
          <w:bCs/>
          <w:sz w:val="22"/>
          <w:szCs w:val="22"/>
        </w:rPr>
        <w:t>Having achieved £4.5m of the targeted £5m thus far and to close out the round, I’d like to take the opportunity to remind you that this will be the final share offering at the discounted price of £18.50 per share. Please also note that it is likely this will be the final investment round that is eligible for EIS relief.</w:t>
      </w:r>
    </w:p>
    <w:p w14:paraId="0B89FE92" w14:textId="77777777" w:rsidR="0083458C" w:rsidRDefault="0083458C" w:rsidP="0083458C">
      <w:pPr>
        <w:rPr>
          <w:sz w:val="22"/>
          <w:szCs w:val="22"/>
        </w:rPr>
      </w:pPr>
      <w:r>
        <w:rPr>
          <w:b/>
          <w:bCs/>
          <w:sz w:val="22"/>
          <w:szCs w:val="22"/>
        </w:rPr>
        <w:br/>
      </w:r>
      <w:r>
        <w:rPr>
          <w:sz w:val="22"/>
          <w:szCs w:val="22"/>
        </w:rPr>
        <w:t>Example: for an EIS investment of £10,000, and the company doubles in value:</w:t>
      </w:r>
    </w:p>
    <w:p w14:paraId="47F7CDED" w14:textId="77777777" w:rsidR="0083458C" w:rsidRDefault="0083458C" w:rsidP="0083458C">
      <w:pPr>
        <w:pStyle w:val="ListParagraph"/>
        <w:numPr>
          <w:ilvl w:val="0"/>
          <w:numId w:val="1"/>
        </w:numPr>
        <w:shd w:val="clear" w:color="auto" w:fill="FFFFFF"/>
        <w:spacing w:after="100" w:afterAutospacing="1"/>
        <w:rPr>
          <w:rFonts w:eastAsia="Times New Roman"/>
          <w:color w:val="000000"/>
          <w:sz w:val="22"/>
          <w:szCs w:val="22"/>
          <w:lang w:eastAsia="en-GB"/>
        </w:rPr>
      </w:pPr>
      <w:r>
        <w:rPr>
          <w:rFonts w:eastAsia="Times New Roman"/>
          <w:color w:val="000000"/>
          <w:sz w:val="22"/>
          <w:szCs w:val="22"/>
          <w:lang w:eastAsia="en-GB"/>
        </w:rPr>
        <w:t>You receive £3,000 in income tax relief against your £10,000 investment.</w:t>
      </w:r>
    </w:p>
    <w:p w14:paraId="08A3E15B" w14:textId="77777777" w:rsidR="0083458C" w:rsidRDefault="0083458C" w:rsidP="0083458C">
      <w:pPr>
        <w:pStyle w:val="ListParagraph"/>
        <w:numPr>
          <w:ilvl w:val="0"/>
          <w:numId w:val="1"/>
        </w:numPr>
        <w:shd w:val="clear" w:color="auto" w:fill="FFFFFF"/>
        <w:spacing w:after="100" w:afterAutospacing="1"/>
        <w:rPr>
          <w:rFonts w:eastAsia="Times New Roman"/>
          <w:color w:val="000000"/>
          <w:sz w:val="22"/>
          <w:szCs w:val="22"/>
          <w:lang w:eastAsia="en-GB"/>
        </w:rPr>
      </w:pPr>
      <w:r>
        <w:rPr>
          <w:rFonts w:eastAsia="Times New Roman"/>
          <w:color w:val="000000"/>
          <w:sz w:val="22"/>
          <w:szCs w:val="22"/>
          <w:lang w:eastAsia="en-GB"/>
        </w:rPr>
        <w:t xml:space="preserve">After three years you sell your shares for £20,000. </w:t>
      </w:r>
    </w:p>
    <w:p w14:paraId="120914E3" w14:textId="77777777" w:rsidR="0083458C" w:rsidRDefault="0083458C" w:rsidP="0083458C">
      <w:pPr>
        <w:pStyle w:val="ListParagraph"/>
        <w:numPr>
          <w:ilvl w:val="0"/>
          <w:numId w:val="1"/>
        </w:numPr>
        <w:shd w:val="clear" w:color="auto" w:fill="FFFFFF"/>
        <w:spacing w:after="100" w:afterAutospacing="1"/>
        <w:rPr>
          <w:rFonts w:eastAsia="Times New Roman"/>
          <w:color w:val="000000"/>
          <w:sz w:val="22"/>
          <w:szCs w:val="22"/>
          <w:lang w:eastAsia="en-GB"/>
        </w:rPr>
      </w:pPr>
      <w:r>
        <w:rPr>
          <w:rFonts w:eastAsia="Times New Roman"/>
          <w:color w:val="000000"/>
          <w:sz w:val="22"/>
          <w:szCs w:val="22"/>
          <w:lang w:eastAsia="en-GB"/>
        </w:rPr>
        <w:t>No capital gains tax is owed on profit.</w:t>
      </w:r>
    </w:p>
    <w:p w14:paraId="0172FE1E" w14:textId="77777777" w:rsidR="0083458C" w:rsidRDefault="0083458C" w:rsidP="0083458C">
      <w:pPr>
        <w:pStyle w:val="ListParagraph"/>
        <w:numPr>
          <w:ilvl w:val="0"/>
          <w:numId w:val="1"/>
        </w:numPr>
        <w:shd w:val="clear" w:color="auto" w:fill="FFFFFF"/>
        <w:spacing w:after="100" w:afterAutospacing="1"/>
        <w:rPr>
          <w:rFonts w:eastAsia="Times New Roman"/>
          <w:color w:val="000000"/>
          <w:sz w:val="22"/>
          <w:szCs w:val="22"/>
          <w:lang w:eastAsia="en-GB"/>
        </w:rPr>
      </w:pPr>
      <w:r>
        <w:rPr>
          <w:rFonts w:eastAsia="Times New Roman"/>
          <w:color w:val="000000"/>
          <w:sz w:val="22"/>
          <w:szCs w:val="22"/>
          <w:lang w:eastAsia="en-GB"/>
        </w:rPr>
        <w:t>Your Gain = £13,000 (£10,000 profit from sale of shares, plus £3,000 income tax relief)</w:t>
      </w:r>
    </w:p>
    <w:p w14:paraId="338B7A79" w14:textId="77777777" w:rsidR="0083458C" w:rsidRDefault="0083458C" w:rsidP="0083458C">
      <w:pPr>
        <w:rPr>
          <w:sz w:val="22"/>
          <w:szCs w:val="22"/>
        </w:rPr>
      </w:pPr>
      <w:r>
        <w:rPr>
          <w:sz w:val="22"/>
          <w:szCs w:val="22"/>
        </w:rPr>
        <w:t>This offer is open for acceptance for 21 days from the date of this notice or the date of completion of the full £5m raise, whichever is the sooner.</w:t>
      </w:r>
    </w:p>
    <w:p w14:paraId="08E648EE" w14:textId="77777777" w:rsidR="0083458C" w:rsidRDefault="0083458C" w:rsidP="0083458C">
      <w:pPr>
        <w:rPr>
          <w:sz w:val="22"/>
          <w:szCs w:val="22"/>
        </w:rPr>
      </w:pPr>
    </w:p>
    <w:p w14:paraId="058890B1" w14:textId="77777777" w:rsidR="0083458C" w:rsidRDefault="0083458C" w:rsidP="0083458C">
      <w:pPr>
        <w:rPr>
          <w:sz w:val="22"/>
          <w:szCs w:val="22"/>
        </w:rPr>
      </w:pPr>
      <w:r>
        <w:rPr>
          <w:sz w:val="22"/>
          <w:szCs w:val="22"/>
        </w:rPr>
        <w:t>This offer is made on a first come first served basis, so please advise me at your earliest convenience if you, or any other prospective investor, wishes to participate and indicate the date on which you are able to supply the necessary funds.</w:t>
      </w:r>
    </w:p>
    <w:p w14:paraId="6323974D" w14:textId="77777777" w:rsidR="0083458C" w:rsidRDefault="0083458C" w:rsidP="0083458C">
      <w:pPr>
        <w:rPr>
          <w:sz w:val="22"/>
          <w:szCs w:val="22"/>
        </w:rPr>
      </w:pPr>
    </w:p>
    <w:p w14:paraId="6770419F" w14:textId="77777777" w:rsidR="0083458C" w:rsidRDefault="0083458C" w:rsidP="0083458C">
      <w:pPr>
        <w:rPr>
          <w:sz w:val="22"/>
          <w:szCs w:val="22"/>
        </w:rPr>
      </w:pPr>
      <w:r>
        <w:rPr>
          <w:sz w:val="22"/>
          <w:szCs w:val="22"/>
        </w:rPr>
        <w:t>I wish to thank you all for your continued support.</w:t>
      </w:r>
    </w:p>
    <w:p w14:paraId="58924E6C" w14:textId="77777777" w:rsidR="0083458C" w:rsidRDefault="0083458C" w:rsidP="0083458C">
      <w:pPr>
        <w:rPr>
          <w:sz w:val="22"/>
          <w:szCs w:val="22"/>
        </w:rPr>
      </w:pPr>
    </w:p>
    <w:p w14:paraId="7FD76105" w14:textId="77777777" w:rsidR="0083458C" w:rsidRDefault="0083458C" w:rsidP="0083458C">
      <w:pPr>
        <w:rPr>
          <w:sz w:val="22"/>
          <w:szCs w:val="22"/>
        </w:rPr>
      </w:pPr>
      <w:r>
        <w:rPr>
          <w:sz w:val="22"/>
          <w:szCs w:val="22"/>
        </w:rPr>
        <w:t>With best regards</w:t>
      </w:r>
    </w:p>
    <w:p w14:paraId="04B1EA37" w14:textId="77777777" w:rsidR="0083458C" w:rsidRDefault="0083458C" w:rsidP="0083458C">
      <w:pPr>
        <w:rPr>
          <w:sz w:val="22"/>
          <w:szCs w:val="22"/>
        </w:rPr>
      </w:pPr>
      <w:r>
        <w:rPr>
          <w:sz w:val="22"/>
          <w:szCs w:val="22"/>
        </w:rPr>
        <w:t>Jane</w:t>
      </w:r>
    </w:p>
    <w:p w14:paraId="3872FAF3" w14:textId="77777777" w:rsidR="0083458C" w:rsidRDefault="0083458C" w:rsidP="0083458C">
      <w:pPr>
        <w:rPr>
          <w:sz w:val="22"/>
          <w:szCs w:val="22"/>
        </w:rPr>
      </w:pPr>
    </w:p>
    <w:tbl>
      <w:tblPr>
        <w:tblW w:w="6001" w:type="dxa"/>
        <w:shd w:val="clear" w:color="auto" w:fill="FFFFFF"/>
        <w:tblCellMar>
          <w:left w:w="0" w:type="dxa"/>
          <w:right w:w="0" w:type="dxa"/>
        </w:tblCellMar>
        <w:tblLook w:val="04A0" w:firstRow="1" w:lastRow="0" w:firstColumn="1" w:lastColumn="0" w:noHBand="0" w:noVBand="1"/>
      </w:tblPr>
      <w:tblGrid>
        <w:gridCol w:w="3219"/>
        <w:gridCol w:w="2782"/>
      </w:tblGrid>
      <w:tr w:rsidR="0083458C" w14:paraId="2DDDB92A" w14:textId="77777777" w:rsidTr="0083458C">
        <w:tc>
          <w:tcPr>
            <w:tcW w:w="3219" w:type="dxa"/>
            <w:shd w:val="clear" w:color="auto" w:fill="FFFFFF"/>
            <w:tcMar>
              <w:top w:w="0" w:type="dxa"/>
              <w:left w:w="0" w:type="dxa"/>
              <w:bottom w:w="90" w:type="dxa"/>
              <w:right w:w="0" w:type="dxa"/>
            </w:tcMar>
            <w:vAlign w:val="center"/>
            <w:hideMark/>
          </w:tcPr>
          <w:p w14:paraId="2E12143F" w14:textId="77777777" w:rsidR="0083458C" w:rsidRDefault="0083458C">
            <w:pPr>
              <w:rPr>
                <w:sz w:val="22"/>
                <w:szCs w:val="22"/>
                <w:lang w:eastAsia="en-GB"/>
              </w:rPr>
            </w:pPr>
            <w:r>
              <w:rPr>
                <w:b/>
                <w:bCs/>
                <w:color w:val="A0845D"/>
                <w:sz w:val="22"/>
                <w:szCs w:val="22"/>
                <w:lang w:eastAsia="en-GB"/>
              </w:rPr>
              <w:t>Jane Turner</w:t>
            </w:r>
            <w:r>
              <w:rPr>
                <w:color w:val="1793CE"/>
                <w:sz w:val="22"/>
                <w:szCs w:val="22"/>
                <w:lang w:eastAsia="en-GB"/>
              </w:rPr>
              <w:t> </w:t>
            </w:r>
            <w:r>
              <w:rPr>
                <w:color w:val="878787"/>
                <w:sz w:val="22"/>
                <w:szCs w:val="22"/>
                <w:lang w:eastAsia="en-GB"/>
              </w:rPr>
              <w:br/>
              <w:t>CEO</w:t>
            </w:r>
          </w:p>
        </w:tc>
        <w:tc>
          <w:tcPr>
            <w:tcW w:w="2782" w:type="dxa"/>
            <w:shd w:val="clear" w:color="auto" w:fill="FFFFFF"/>
            <w:tcMar>
              <w:top w:w="0" w:type="dxa"/>
              <w:left w:w="0" w:type="dxa"/>
              <w:bottom w:w="90" w:type="dxa"/>
              <w:right w:w="0" w:type="dxa"/>
            </w:tcMar>
            <w:vAlign w:val="center"/>
            <w:hideMark/>
          </w:tcPr>
          <w:p w14:paraId="069F71CF" w14:textId="66E8095A" w:rsidR="0083458C" w:rsidRDefault="0083458C">
            <w:pPr>
              <w:jc w:val="right"/>
              <w:rPr>
                <w:sz w:val="22"/>
                <w:szCs w:val="22"/>
                <w:lang w:eastAsia="en-GB"/>
              </w:rPr>
            </w:pPr>
            <w:r>
              <w:rPr>
                <w:rFonts w:ascii="Arial" w:hAnsi="Arial" w:cs="Arial"/>
                <w:noProof/>
                <w:color w:val="337AB7"/>
                <w:sz w:val="22"/>
                <w:szCs w:val="22"/>
                <w:lang w:eastAsia="en-GB"/>
              </w:rPr>
              <w:drawing>
                <wp:inline distT="0" distB="0" distL="0" distR="0" wp14:anchorId="11686B34" wp14:editId="49A8AC55">
                  <wp:extent cx="1362075" cy="342900"/>
                  <wp:effectExtent l="0" t="0" r="9525" b="0"/>
                  <wp:docPr id="6" name="Picture 6" descr="Logo">
                    <a:hlinkClick xmlns:a="http://schemas.openxmlformats.org/drawingml/2006/main" r:id="rId7" tgtFrame="_blank" tooltip="https://www.centtrip.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tc>
      </w:tr>
      <w:tr w:rsidR="0083458C" w14:paraId="010966F8" w14:textId="77777777" w:rsidTr="0083458C">
        <w:tc>
          <w:tcPr>
            <w:tcW w:w="6001" w:type="dxa"/>
            <w:gridSpan w:val="2"/>
            <w:tcBorders>
              <w:top w:val="single" w:sz="8" w:space="0" w:color="A0845D"/>
              <w:left w:val="nil"/>
              <w:bottom w:val="nil"/>
              <w:right w:val="nil"/>
            </w:tcBorders>
            <w:shd w:val="clear" w:color="auto" w:fill="FFFFFF"/>
            <w:vAlign w:val="center"/>
            <w:hideMark/>
          </w:tcPr>
          <w:p w14:paraId="2E15451E" w14:textId="77777777" w:rsidR="0083458C" w:rsidRDefault="0083458C">
            <w:pPr>
              <w:rPr>
                <w:sz w:val="22"/>
                <w:szCs w:val="22"/>
                <w:lang w:eastAsia="en-GB"/>
              </w:rPr>
            </w:pPr>
            <w:r>
              <w:rPr>
                <w:color w:val="444444"/>
                <w:sz w:val="22"/>
                <w:szCs w:val="22"/>
                <w:lang w:eastAsia="en-GB"/>
              </w:rPr>
              <w:lastRenderedPageBreak/>
              <w:t> </w:t>
            </w:r>
          </w:p>
        </w:tc>
      </w:tr>
      <w:tr w:rsidR="0083458C" w14:paraId="3E1ECD51" w14:textId="77777777" w:rsidTr="0083458C">
        <w:tc>
          <w:tcPr>
            <w:tcW w:w="6001" w:type="dxa"/>
            <w:gridSpan w:val="2"/>
            <w:shd w:val="clear" w:color="auto" w:fill="FFFFFF"/>
            <w:vAlign w:val="center"/>
            <w:hideMark/>
          </w:tcPr>
          <w:p w14:paraId="60BFEE1E" w14:textId="77777777" w:rsidR="0083458C" w:rsidRDefault="0083458C">
            <w:pPr>
              <w:rPr>
                <w:sz w:val="22"/>
                <w:szCs w:val="22"/>
                <w:lang w:eastAsia="en-GB"/>
              </w:rPr>
            </w:pPr>
            <w:proofErr w:type="spellStart"/>
            <w:r>
              <w:rPr>
                <w:b/>
                <w:bCs/>
                <w:color w:val="2C2C2C"/>
                <w:sz w:val="22"/>
                <w:szCs w:val="22"/>
                <w:lang w:eastAsia="en-GB"/>
              </w:rPr>
              <w:t>Centtrip</w:t>
            </w:r>
            <w:proofErr w:type="spellEnd"/>
            <w:r>
              <w:rPr>
                <w:b/>
                <w:bCs/>
                <w:color w:val="2C2C2C"/>
                <w:sz w:val="22"/>
                <w:szCs w:val="22"/>
                <w:lang w:eastAsia="en-GB"/>
              </w:rPr>
              <w:t xml:space="preserve"> Ltd</w:t>
            </w:r>
          </w:p>
        </w:tc>
      </w:tr>
      <w:tr w:rsidR="0083458C" w14:paraId="1D275890" w14:textId="77777777" w:rsidTr="0083458C">
        <w:tc>
          <w:tcPr>
            <w:tcW w:w="6001" w:type="dxa"/>
            <w:gridSpan w:val="2"/>
            <w:shd w:val="clear" w:color="auto" w:fill="FFFFFF"/>
            <w:vAlign w:val="center"/>
            <w:hideMark/>
          </w:tcPr>
          <w:p w14:paraId="3EB76841" w14:textId="77777777" w:rsidR="0083458C" w:rsidRDefault="0083458C">
            <w:pPr>
              <w:rPr>
                <w:sz w:val="22"/>
                <w:szCs w:val="22"/>
                <w:lang w:eastAsia="en-GB"/>
              </w:rPr>
            </w:pPr>
            <w:r>
              <w:rPr>
                <w:color w:val="2C2C2C"/>
                <w:sz w:val="22"/>
                <w:szCs w:val="22"/>
                <w:lang w:eastAsia="en-GB"/>
              </w:rPr>
              <w:t>1 Mark Square, London EC2A 4EG</w:t>
            </w:r>
          </w:p>
        </w:tc>
      </w:tr>
      <w:tr w:rsidR="0083458C" w14:paraId="17B3E637" w14:textId="77777777" w:rsidTr="0083458C">
        <w:tc>
          <w:tcPr>
            <w:tcW w:w="6001" w:type="dxa"/>
            <w:gridSpan w:val="2"/>
            <w:shd w:val="clear" w:color="auto" w:fill="FFFFFF"/>
            <w:vAlign w:val="center"/>
            <w:hideMark/>
          </w:tcPr>
          <w:p w14:paraId="097D42B7" w14:textId="77777777" w:rsidR="0083458C" w:rsidRDefault="0083458C">
            <w:pPr>
              <w:rPr>
                <w:color w:val="2C2C2C"/>
                <w:sz w:val="22"/>
                <w:szCs w:val="22"/>
                <w:lang w:eastAsia="en-GB"/>
              </w:rPr>
            </w:pPr>
            <w:r>
              <w:rPr>
                <w:color w:val="2C2C2C"/>
                <w:sz w:val="22"/>
                <w:szCs w:val="22"/>
                <w:lang w:eastAsia="en-GB"/>
              </w:rPr>
              <w:t>t: + 44 (0)20 3735 1735</w:t>
            </w:r>
          </w:p>
          <w:p w14:paraId="25751503" w14:textId="77777777" w:rsidR="0083458C" w:rsidRDefault="0083458C">
            <w:pPr>
              <w:rPr>
                <w:sz w:val="22"/>
                <w:szCs w:val="22"/>
                <w:lang w:eastAsia="en-GB"/>
              </w:rPr>
            </w:pPr>
            <w:r>
              <w:rPr>
                <w:color w:val="2C2C2C"/>
                <w:sz w:val="22"/>
                <w:szCs w:val="22"/>
                <w:lang w:eastAsia="en-GB"/>
              </w:rPr>
              <w:t>m: + 44 (0)7831 303251</w:t>
            </w:r>
          </w:p>
        </w:tc>
      </w:tr>
      <w:tr w:rsidR="0083458C" w14:paraId="15007801" w14:textId="77777777" w:rsidTr="0083458C">
        <w:tc>
          <w:tcPr>
            <w:tcW w:w="6001" w:type="dxa"/>
            <w:gridSpan w:val="2"/>
            <w:shd w:val="clear" w:color="auto" w:fill="FFFFFF"/>
            <w:vAlign w:val="center"/>
            <w:hideMark/>
          </w:tcPr>
          <w:p w14:paraId="6B938273" w14:textId="77777777" w:rsidR="0083458C" w:rsidRDefault="0083458C">
            <w:pPr>
              <w:rPr>
                <w:color w:val="A8882B"/>
                <w:sz w:val="22"/>
                <w:szCs w:val="22"/>
                <w:lang w:eastAsia="en-GB"/>
              </w:rPr>
            </w:pPr>
            <w:r>
              <w:rPr>
                <w:color w:val="A8882B"/>
                <w:sz w:val="22"/>
                <w:szCs w:val="22"/>
                <w:lang w:eastAsia="en-GB"/>
              </w:rPr>
              <w:t>e: </w:t>
            </w:r>
            <w:hyperlink r:id="rId10" w:history="1">
              <w:r>
                <w:rPr>
                  <w:rStyle w:val="Hyperlink"/>
                  <w:color w:val="A8882B"/>
                  <w:sz w:val="22"/>
                  <w:szCs w:val="22"/>
                  <w:lang w:eastAsia="en-GB"/>
                </w:rPr>
                <w:t>www.jane.turner@centtrip.com</w:t>
              </w:r>
            </w:hyperlink>
          </w:p>
        </w:tc>
      </w:tr>
      <w:tr w:rsidR="0083458C" w14:paraId="390368BD" w14:textId="77777777" w:rsidTr="0083458C">
        <w:tc>
          <w:tcPr>
            <w:tcW w:w="6001" w:type="dxa"/>
            <w:gridSpan w:val="2"/>
            <w:shd w:val="clear" w:color="auto" w:fill="FFFFFF"/>
            <w:vAlign w:val="center"/>
            <w:hideMark/>
          </w:tcPr>
          <w:p w14:paraId="4E088C83" w14:textId="77777777" w:rsidR="0083458C" w:rsidRDefault="0083458C">
            <w:pPr>
              <w:rPr>
                <w:color w:val="A8882B"/>
                <w:sz w:val="22"/>
                <w:szCs w:val="22"/>
                <w:lang w:eastAsia="en-GB"/>
              </w:rPr>
            </w:pPr>
            <w:r>
              <w:rPr>
                <w:color w:val="A8882B"/>
                <w:sz w:val="22"/>
                <w:szCs w:val="22"/>
                <w:lang w:eastAsia="en-GB"/>
              </w:rPr>
              <w:t> </w:t>
            </w:r>
          </w:p>
        </w:tc>
      </w:tr>
      <w:tr w:rsidR="0083458C" w14:paraId="41123F96" w14:textId="77777777" w:rsidTr="0083458C">
        <w:trPr>
          <w:trHeight w:val="225"/>
        </w:trPr>
        <w:tc>
          <w:tcPr>
            <w:tcW w:w="3219" w:type="dxa"/>
            <w:shd w:val="clear" w:color="auto" w:fill="FFFFFF"/>
            <w:vAlign w:val="center"/>
            <w:hideMark/>
          </w:tcPr>
          <w:p w14:paraId="52D5EAC2" w14:textId="77777777" w:rsidR="0083458C" w:rsidRDefault="0083458C">
            <w:pPr>
              <w:rPr>
                <w:color w:val="A8882B"/>
                <w:sz w:val="22"/>
                <w:szCs w:val="22"/>
                <w:lang w:eastAsia="en-GB"/>
              </w:rPr>
            </w:pPr>
            <w:hyperlink r:id="rId11" w:history="1">
              <w:r>
                <w:rPr>
                  <w:rStyle w:val="Hyperlink"/>
                  <w:b/>
                  <w:bCs/>
                  <w:color w:val="A8882B"/>
                  <w:sz w:val="22"/>
                  <w:szCs w:val="22"/>
                  <w:lang w:eastAsia="en-GB"/>
                </w:rPr>
                <w:t>www.centtrip.com</w:t>
              </w:r>
            </w:hyperlink>
          </w:p>
        </w:tc>
        <w:tc>
          <w:tcPr>
            <w:tcW w:w="2782" w:type="dxa"/>
            <w:shd w:val="clear" w:color="auto" w:fill="FFFFFF"/>
            <w:vAlign w:val="center"/>
            <w:hideMark/>
          </w:tcPr>
          <w:p w14:paraId="739BF4FB" w14:textId="43CA9186" w:rsidR="0083458C" w:rsidRDefault="0083458C">
            <w:pPr>
              <w:jc w:val="right"/>
              <w:rPr>
                <w:color w:val="A8882B"/>
                <w:sz w:val="22"/>
                <w:szCs w:val="22"/>
                <w:lang w:eastAsia="en-GB"/>
              </w:rPr>
            </w:pPr>
            <w:r>
              <w:rPr>
                <w:noProof/>
                <w:color w:val="A8882B"/>
                <w:sz w:val="22"/>
                <w:szCs w:val="22"/>
                <w:lang w:eastAsia="en-GB"/>
              </w:rPr>
              <w:drawing>
                <wp:inline distT="0" distB="0" distL="0" distR="0" wp14:anchorId="6DE55A11" wp14:editId="5151A242">
                  <wp:extent cx="238125" cy="200025"/>
                  <wp:effectExtent l="0" t="0" r="9525" b="9525"/>
                  <wp:docPr id="5" name="Picture 5" descr="cidimage002.png@01D5D04B.841019F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5D04B.841019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color w:val="A8882B"/>
                <w:sz w:val="22"/>
                <w:szCs w:val="22"/>
                <w:lang w:eastAsia="en-GB"/>
              </w:rPr>
              <w:t> </w:t>
            </w:r>
            <w:r>
              <w:rPr>
                <w:noProof/>
                <w:color w:val="A8882B"/>
                <w:sz w:val="22"/>
                <w:szCs w:val="22"/>
                <w:lang w:eastAsia="en-GB"/>
              </w:rPr>
              <w:drawing>
                <wp:inline distT="0" distB="0" distL="0" distR="0" wp14:anchorId="12BD3684" wp14:editId="7B297CC8">
                  <wp:extent cx="200025" cy="200025"/>
                  <wp:effectExtent l="0" t="0" r="9525" b="9525"/>
                  <wp:docPr id="4" name="Picture 4" descr="cidimage003.png@01D5D04B.841019F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5D04B.841019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color w:val="A8882B"/>
                <w:sz w:val="22"/>
                <w:szCs w:val="22"/>
                <w:shd w:val="clear" w:color="auto" w:fill="FFFFFF"/>
                <w:lang w:eastAsia="en-GB"/>
              </w:rPr>
              <w:t>  </w:t>
            </w:r>
            <w:r>
              <w:rPr>
                <w:noProof/>
                <w:color w:val="A8882B"/>
                <w:sz w:val="22"/>
                <w:szCs w:val="22"/>
                <w:lang w:eastAsia="en-GB"/>
              </w:rPr>
              <w:drawing>
                <wp:inline distT="0" distB="0" distL="0" distR="0" wp14:anchorId="7FE10EA3" wp14:editId="0C7124E9">
                  <wp:extent cx="200025" cy="200025"/>
                  <wp:effectExtent l="0" t="0" r="9525" b="9525"/>
                  <wp:docPr id="3" name="Picture 3" descr="cidimage008.png@01D5D04C.069779E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5D04C.069779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cs="Arial"/>
                <w:color w:val="A8882B"/>
                <w:sz w:val="22"/>
                <w:szCs w:val="22"/>
                <w:shd w:val="clear" w:color="auto" w:fill="FFFFFF"/>
                <w:lang w:eastAsia="en-GB"/>
              </w:rPr>
              <w:t> </w:t>
            </w:r>
          </w:p>
        </w:tc>
      </w:tr>
      <w:tr w:rsidR="0083458C" w14:paraId="0655BFB6" w14:textId="77777777" w:rsidTr="0083458C">
        <w:tc>
          <w:tcPr>
            <w:tcW w:w="6001" w:type="dxa"/>
            <w:gridSpan w:val="2"/>
            <w:shd w:val="clear" w:color="auto" w:fill="FFFFFF"/>
            <w:vAlign w:val="center"/>
            <w:hideMark/>
          </w:tcPr>
          <w:p w14:paraId="741E47D0" w14:textId="77777777" w:rsidR="0083458C" w:rsidRDefault="0083458C">
            <w:pPr>
              <w:rPr>
                <w:sz w:val="22"/>
                <w:szCs w:val="22"/>
                <w:lang w:eastAsia="en-GB"/>
              </w:rPr>
            </w:pPr>
            <w:r>
              <w:rPr>
                <w:color w:val="000000"/>
                <w:sz w:val="22"/>
                <w:szCs w:val="22"/>
                <w:lang w:eastAsia="en-GB"/>
              </w:rPr>
              <w:t> </w:t>
            </w:r>
          </w:p>
          <w:p w14:paraId="48B5ED19" w14:textId="1B1A84AC" w:rsidR="0083458C" w:rsidRDefault="0083458C">
            <w:pPr>
              <w:rPr>
                <w:sz w:val="22"/>
                <w:szCs w:val="22"/>
                <w:lang w:eastAsia="en-GB"/>
              </w:rPr>
            </w:pPr>
            <w:r>
              <w:rPr>
                <w:noProof/>
                <w:color w:val="000000"/>
                <w:sz w:val="22"/>
                <w:szCs w:val="22"/>
                <w:lang w:eastAsia="en-GB"/>
              </w:rPr>
              <w:drawing>
                <wp:inline distT="0" distB="0" distL="0" distR="0" wp14:anchorId="77FB7541" wp14:editId="165A23C2">
                  <wp:extent cx="1190625" cy="333375"/>
                  <wp:effectExtent l="0" t="0" r="9525" b="9525"/>
                  <wp:docPr id="2" name="Picture 2" descr="cidimage005.png@01D5D04B.841019F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5D04B.841019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r>
              <w:rPr>
                <w:color w:val="000000"/>
                <w:sz w:val="22"/>
                <w:szCs w:val="22"/>
                <w:lang w:eastAsia="en-GB"/>
              </w:rPr>
              <w:t>  </w:t>
            </w:r>
            <w:r>
              <w:rPr>
                <w:noProof/>
                <w:color w:val="000000"/>
                <w:sz w:val="22"/>
                <w:szCs w:val="22"/>
                <w:lang w:eastAsia="en-GB"/>
              </w:rPr>
              <w:drawing>
                <wp:inline distT="0" distB="0" distL="0" distR="0" wp14:anchorId="04CE2A24" wp14:editId="5DFB5043">
                  <wp:extent cx="1057275" cy="333375"/>
                  <wp:effectExtent l="0" t="0" r="9525" b="9525"/>
                  <wp:docPr id="1" name="Picture 1" descr="cidimage006.png@01D5D04B.841019F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D04B.841019F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p>
        </w:tc>
      </w:tr>
    </w:tbl>
    <w:p w14:paraId="4C69378D" w14:textId="77777777" w:rsidR="00B2451F" w:rsidRPr="00DB2978" w:rsidRDefault="00B2451F" w:rsidP="00DB2978">
      <w:bookmarkStart w:id="0" w:name="_GoBack"/>
      <w:bookmarkEnd w:id="0"/>
    </w:p>
    <w:sectPr w:rsidR="00B2451F" w:rsidRPr="00DB2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81FBF" w14:textId="77777777" w:rsidR="0083458C" w:rsidRDefault="0083458C" w:rsidP="00DB2978">
      <w:r>
        <w:separator/>
      </w:r>
    </w:p>
  </w:endnote>
  <w:endnote w:type="continuationSeparator" w:id="0">
    <w:p w14:paraId="10894C29" w14:textId="77777777" w:rsidR="0083458C" w:rsidRDefault="0083458C" w:rsidP="00DB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accord Effra">
    <w:panose1 w:val="020B0603020203020204"/>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EEF1" w14:textId="77777777" w:rsidR="0083458C" w:rsidRDefault="0083458C" w:rsidP="00DB2978">
      <w:r>
        <w:separator/>
      </w:r>
    </w:p>
  </w:footnote>
  <w:footnote w:type="continuationSeparator" w:id="0">
    <w:p w14:paraId="74B243E5" w14:textId="77777777" w:rsidR="0083458C" w:rsidRDefault="0083458C" w:rsidP="00DB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C32F5"/>
    <w:multiLevelType w:val="hybridMultilevel"/>
    <w:tmpl w:val="4538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8C"/>
    <w:rsid w:val="0045028B"/>
    <w:rsid w:val="005A3417"/>
    <w:rsid w:val="00771FCD"/>
    <w:rsid w:val="0083458C"/>
    <w:rsid w:val="00B2451F"/>
    <w:rsid w:val="00BA01B7"/>
    <w:rsid w:val="00C2770F"/>
    <w:rsid w:val="00C94BA5"/>
    <w:rsid w:val="00DB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08D5"/>
  <w15:chartTrackingRefBased/>
  <w15:docId w15:val="{ED286FD7-77DD-49E2-965D-2F6058D8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8C"/>
    <w:pPr>
      <w:spacing w:after="0" w:line="240" w:lineRule="auto"/>
    </w:pPr>
    <w:rPr>
      <w:rFonts w:ascii="Calibri" w:hAnsi="Calibri" w:cs="Calibri"/>
      <w:sz w:val="24"/>
      <w:szCs w:val="24"/>
      <w:lang w:val="en-GB"/>
    </w:rPr>
  </w:style>
  <w:style w:type="paragraph" w:styleId="Heading1">
    <w:name w:val="heading 1"/>
    <w:basedOn w:val="Normal"/>
    <w:next w:val="Normal"/>
    <w:link w:val="Heading1Char"/>
    <w:uiPriority w:val="9"/>
    <w:qFormat/>
    <w:rsid w:val="00C2770F"/>
    <w:pPr>
      <w:keepNext/>
      <w:keepLines/>
      <w:spacing w:before="240"/>
      <w:outlineLvl w:val="0"/>
    </w:pPr>
    <w:rPr>
      <w:rFonts w:ascii="Canaccord Effra" w:eastAsiaTheme="majorEastAsia" w:hAnsi="Canaccord Effra" w:cstheme="majorBidi"/>
      <w:b/>
      <w:color w:val="38207C" w:themeColor="accent1"/>
      <w:sz w:val="32"/>
      <w:szCs w:val="32"/>
    </w:rPr>
  </w:style>
  <w:style w:type="paragraph" w:styleId="Heading2">
    <w:name w:val="heading 2"/>
    <w:basedOn w:val="Normal"/>
    <w:next w:val="Normal"/>
    <w:link w:val="Heading2Char"/>
    <w:uiPriority w:val="9"/>
    <w:semiHidden/>
    <w:unhideWhenUsed/>
    <w:qFormat/>
    <w:rsid w:val="00C2770F"/>
    <w:pPr>
      <w:keepNext/>
      <w:keepLines/>
      <w:spacing w:before="40"/>
      <w:outlineLvl w:val="1"/>
    </w:pPr>
    <w:rPr>
      <w:rFonts w:eastAsiaTheme="majorEastAsia" w:cstheme="majorBidi"/>
      <w:b/>
      <w:color w:val="3820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70F"/>
    <w:pPr>
      <w:spacing w:after="0" w:line="240" w:lineRule="auto"/>
    </w:pPr>
  </w:style>
  <w:style w:type="character" w:customStyle="1" w:styleId="Heading1Char">
    <w:name w:val="Heading 1 Char"/>
    <w:basedOn w:val="DefaultParagraphFont"/>
    <w:link w:val="Heading1"/>
    <w:uiPriority w:val="9"/>
    <w:rsid w:val="00C2770F"/>
    <w:rPr>
      <w:rFonts w:ascii="Canaccord Effra" w:eastAsiaTheme="majorEastAsia" w:hAnsi="Canaccord Effra" w:cstheme="majorBidi"/>
      <w:b/>
      <w:color w:val="38207C" w:themeColor="accent1"/>
      <w:sz w:val="32"/>
      <w:szCs w:val="32"/>
    </w:rPr>
  </w:style>
  <w:style w:type="character" w:customStyle="1" w:styleId="Heading2Char">
    <w:name w:val="Heading 2 Char"/>
    <w:basedOn w:val="DefaultParagraphFont"/>
    <w:link w:val="Heading2"/>
    <w:uiPriority w:val="9"/>
    <w:semiHidden/>
    <w:rsid w:val="00C2770F"/>
    <w:rPr>
      <w:rFonts w:eastAsiaTheme="majorEastAsia" w:cstheme="majorBidi"/>
      <w:b/>
      <w:color w:val="38207C" w:themeColor="accent1"/>
      <w:sz w:val="26"/>
      <w:szCs w:val="26"/>
    </w:rPr>
  </w:style>
  <w:style w:type="paragraph" w:styleId="Title">
    <w:name w:val="Title"/>
    <w:basedOn w:val="Normal"/>
    <w:next w:val="Normal"/>
    <w:link w:val="TitleChar"/>
    <w:uiPriority w:val="10"/>
    <w:qFormat/>
    <w:rsid w:val="00C2770F"/>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7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770F"/>
    <w:pPr>
      <w:numPr>
        <w:ilvl w:val="1"/>
      </w:numPr>
    </w:pPr>
    <w:rPr>
      <w:rFonts w:eastAsiaTheme="minorEastAsia"/>
      <w:spacing w:val="15"/>
    </w:rPr>
  </w:style>
  <w:style w:type="character" w:customStyle="1" w:styleId="SubtitleChar">
    <w:name w:val="Subtitle Char"/>
    <w:basedOn w:val="DefaultParagraphFont"/>
    <w:link w:val="Subtitle"/>
    <w:uiPriority w:val="11"/>
    <w:rsid w:val="00C2770F"/>
    <w:rPr>
      <w:rFonts w:eastAsiaTheme="minorEastAsia"/>
      <w:spacing w:val="15"/>
    </w:rPr>
  </w:style>
  <w:style w:type="character" w:styleId="SubtleEmphasis">
    <w:name w:val="Subtle Emphasis"/>
    <w:basedOn w:val="DefaultParagraphFont"/>
    <w:uiPriority w:val="19"/>
    <w:qFormat/>
    <w:rsid w:val="00C2770F"/>
    <w:rPr>
      <w:i/>
      <w:iCs/>
      <w:color w:val="auto"/>
    </w:rPr>
  </w:style>
  <w:style w:type="character" w:styleId="Emphasis">
    <w:name w:val="Emphasis"/>
    <w:basedOn w:val="DefaultParagraphFont"/>
    <w:uiPriority w:val="20"/>
    <w:qFormat/>
    <w:rsid w:val="00C2770F"/>
    <w:rPr>
      <w:i/>
      <w:iCs/>
      <w:color w:val="38207C" w:themeColor="accent1"/>
    </w:rPr>
  </w:style>
  <w:style w:type="paragraph" w:styleId="Quote">
    <w:name w:val="Quote"/>
    <w:basedOn w:val="Normal"/>
    <w:next w:val="Normal"/>
    <w:link w:val="QuoteChar"/>
    <w:uiPriority w:val="29"/>
    <w:qFormat/>
    <w:rsid w:val="00C2770F"/>
    <w:pPr>
      <w:spacing w:before="200"/>
      <w:ind w:left="864" w:right="864"/>
      <w:jc w:val="center"/>
    </w:pPr>
    <w:rPr>
      <w:rFonts w:ascii="Canaccord Effra" w:hAnsi="Canaccord Effra"/>
      <w:i/>
      <w:iCs/>
      <w:color w:val="38207C" w:themeColor="accent1"/>
    </w:rPr>
  </w:style>
  <w:style w:type="character" w:customStyle="1" w:styleId="QuoteChar">
    <w:name w:val="Quote Char"/>
    <w:basedOn w:val="DefaultParagraphFont"/>
    <w:link w:val="Quote"/>
    <w:uiPriority w:val="29"/>
    <w:rsid w:val="00C2770F"/>
    <w:rPr>
      <w:rFonts w:ascii="Canaccord Effra" w:hAnsi="Canaccord Effra"/>
      <w:i/>
      <w:iCs/>
      <w:color w:val="38207C" w:themeColor="accent1"/>
    </w:rPr>
  </w:style>
  <w:style w:type="paragraph" w:styleId="IntenseQuote">
    <w:name w:val="Intense Quote"/>
    <w:basedOn w:val="Normal"/>
    <w:next w:val="Normal"/>
    <w:link w:val="IntenseQuoteChar"/>
    <w:uiPriority w:val="30"/>
    <w:qFormat/>
    <w:rsid w:val="00C2770F"/>
    <w:pPr>
      <w:pBdr>
        <w:top w:val="single" w:sz="4" w:space="10" w:color="38207C" w:themeColor="accent1"/>
        <w:bottom w:val="single" w:sz="4" w:space="10" w:color="38207C" w:themeColor="accent1"/>
      </w:pBdr>
      <w:spacing w:before="360" w:after="360"/>
      <w:ind w:left="864" w:right="864"/>
      <w:jc w:val="center"/>
    </w:pPr>
    <w:rPr>
      <w:b/>
      <w:i/>
      <w:iCs/>
      <w:color w:val="38207C" w:themeColor="accent1"/>
    </w:rPr>
  </w:style>
  <w:style w:type="character" w:customStyle="1" w:styleId="IntenseQuoteChar">
    <w:name w:val="Intense Quote Char"/>
    <w:basedOn w:val="DefaultParagraphFont"/>
    <w:link w:val="IntenseQuote"/>
    <w:uiPriority w:val="30"/>
    <w:rsid w:val="00C2770F"/>
    <w:rPr>
      <w:b/>
      <w:i/>
      <w:iCs/>
      <w:color w:val="38207C" w:themeColor="accent1"/>
    </w:rPr>
  </w:style>
  <w:style w:type="character" w:styleId="SubtleReference">
    <w:name w:val="Subtle Reference"/>
    <w:basedOn w:val="DefaultParagraphFont"/>
    <w:uiPriority w:val="31"/>
    <w:qFormat/>
    <w:rsid w:val="00C2770F"/>
    <w:rPr>
      <w:smallCaps/>
      <w:color w:val="38207C" w:themeColor="accent1"/>
    </w:rPr>
  </w:style>
  <w:style w:type="character" w:styleId="IntenseReference">
    <w:name w:val="Intense Reference"/>
    <w:basedOn w:val="DefaultParagraphFont"/>
    <w:uiPriority w:val="32"/>
    <w:qFormat/>
    <w:rsid w:val="00C2770F"/>
    <w:rPr>
      <w:b/>
      <w:bCs/>
      <w:smallCaps/>
      <w:color w:val="38207C" w:themeColor="accent1"/>
      <w:spacing w:val="5"/>
    </w:rPr>
  </w:style>
  <w:style w:type="character" w:styleId="BookTitle">
    <w:name w:val="Book Title"/>
    <w:basedOn w:val="DefaultParagraphFont"/>
    <w:uiPriority w:val="33"/>
    <w:qFormat/>
    <w:rsid w:val="00C2770F"/>
    <w:rPr>
      <w:b/>
      <w:bCs/>
      <w:i/>
      <w:iCs/>
      <w:spacing w:val="5"/>
    </w:rPr>
  </w:style>
  <w:style w:type="paragraph" w:styleId="ListParagraph">
    <w:name w:val="List Paragraph"/>
    <w:basedOn w:val="Normal"/>
    <w:uiPriority w:val="34"/>
    <w:qFormat/>
    <w:rsid w:val="00C2770F"/>
    <w:pPr>
      <w:ind w:left="720"/>
      <w:contextualSpacing/>
    </w:pPr>
  </w:style>
  <w:style w:type="character" w:styleId="Strong">
    <w:name w:val="Strong"/>
    <w:basedOn w:val="DefaultParagraphFont"/>
    <w:uiPriority w:val="22"/>
    <w:qFormat/>
    <w:rsid w:val="00C2770F"/>
    <w:rPr>
      <w:b/>
      <w:bCs/>
    </w:rPr>
  </w:style>
  <w:style w:type="character" w:styleId="IntenseEmphasis">
    <w:name w:val="Intense Emphasis"/>
    <w:basedOn w:val="DefaultParagraphFont"/>
    <w:uiPriority w:val="21"/>
    <w:qFormat/>
    <w:rsid w:val="00C2770F"/>
    <w:rPr>
      <w:b/>
      <w:i/>
      <w:iCs/>
      <w:color w:val="38207C" w:themeColor="accent1"/>
    </w:rPr>
  </w:style>
  <w:style w:type="character" w:styleId="Hyperlink">
    <w:name w:val="Hyperlink"/>
    <w:basedOn w:val="DefaultParagraphFont"/>
    <w:uiPriority w:val="99"/>
    <w:semiHidden/>
    <w:unhideWhenUsed/>
    <w:rsid w:val="008345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urldefense.com/v3/__https:/www.youtube.com/channel/UCKCUkdPrZlk68m_jrm7nzlw__;!!Ei9jbvzSmg!FKxmU5u01qT_KyEvNic2w8xYGtcUnvbW3Q_YS2TVji6ijEoxQ5yeAj3XAft_9LSZkapRYTDu_A$" TargetMode="External"/><Relationship Id="rId26" Type="http://schemas.openxmlformats.org/officeDocument/2006/relationships/image" Target="cid:image015.png@01D6FEC5.53ED6E90" TargetMode="External"/><Relationship Id="rId3" Type="http://schemas.openxmlformats.org/officeDocument/2006/relationships/settings" Target="settings.xml"/><Relationship Id="rId21" Type="http://schemas.openxmlformats.org/officeDocument/2006/relationships/hyperlink" Target="https://urldefense.com/v3/__https:/play.google.com/store/apps/details?id=com.centtrip.app&amp;hl=en_GB__;!!Ei9jbvzSmg!FKxmU5u01qT_KyEvNic2w8xYGtcUnvbW3Q_YS2TVji6ijEoxQ5yeAj3XAft_9LSZkarLSxyqug$" TargetMode="External"/><Relationship Id="rId7" Type="http://schemas.openxmlformats.org/officeDocument/2006/relationships/hyperlink" Target="https://urldefense.com/v3/__https:/www.centtrip.com/__;!!Ei9jbvzSmg!FKxmU5u01qT_KyEvNic2w8xYGtcUnvbW3Q_YS2TVji6ijEoxQ5yeAj3XAft_9LSZkapXJWSR3g$" TargetMode="External"/><Relationship Id="rId12" Type="http://schemas.openxmlformats.org/officeDocument/2006/relationships/hyperlink" Target="https://urldefense.com/v3/__https:/www.linkedin.com/company/centtrip__;!!Ei9jbvzSmg!FKxmU5u01qT_KyEvNic2w8xYGtcUnvbW3Q_YS2TVji6ijEoxQ5yeAj3XAft_9LSZkaqYie-_6A$" TargetMode="External"/><Relationship Id="rId17" Type="http://schemas.openxmlformats.org/officeDocument/2006/relationships/image" Target="cid:image003.png@01D6FEBA.8103A440"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4.png@01D6FEBA.8103A4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www.centtrip.com__;!!Ei9jbvzSmg!FKxmU5u01qT_KyEvNic2w8xYGtcUnvbW3Q_YS2TVji6ijEoxQ5yeAj3XAft_9LSZkaqtEHkckQ$" TargetMode="External"/><Relationship Id="rId24" Type="http://schemas.openxmlformats.org/officeDocument/2006/relationships/hyperlink" Target="https://urldefense.com/v3/__https:/apps.apple.com/gb/app/centtrip/id1151916421__;!!Ei9jbvzSmg!FKxmU5u01qT_KyEvNic2w8xYGtcUnvbW3Q_YS2TVji6ijEoxQ5yeAj3XAft_9LSZkaqLMWwEmA$" TargetMode="External"/><Relationship Id="rId5" Type="http://schemas.openxmlformats.org/officeDocument/2006/relationships/footnotes" Target="footnotes.xml"/><Relationship Id="rId15" Type="http://schemas.openxmlformats.org/officeDocument/2006/relationships/hyperlink" Target="https://urldefense.com/v3/__https:/twitter.com/Centtrip__;!!Ei9jbvzSmg!FKxmU5u01qT_KyEvNic2w8xYGtcUnvbW3Q_YS2TVji6ijEoxQ5yeAj3XAft_9LSZkaph_5JWMw$" TargetMode="External"/><Relationship Id="rId23" Type="http://schemas.openxmlformats.org/officeDocument/2006/relationships/image" Target="cid:image014.png@01D6FEC5.53ED6E90" TargetMode="External"/><Relationship Id="rId28" Type="http://schemas.openxmlformats.org/officeDocument/2006/relationships/theme" Target="theme/theme1.xml"/><Relationship Id="rId10" Type="http://schemas.openxmlformats.org/officeDocument/2006/relationships/hyperlink" Target="https://urldefense.com/v3/__http:/www.jane.turner@centtrip.com__;!!Ei9jbvzSmg!FKxmU5u01qT_KyEvNic2w8xYGtcUnvbW3Q_YS2TVji6ijEoxQ5yeAj3XAft_9LSZkape3dsIQQ$"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1.png@01D6FEBA.8103A440" TargetMode="External"/><Relationship Id="rId14" Type="http://schemas.openxmlformats.org/officeDocument/2006/relationships/image" Target="cid:image002.png@01D6FEBA.8103A440"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Canaccord Colour theme">
  <a:themeElements>
    <a:clrScheme name="Custom 14">
      <a:dk1>
        <a:srgbClr val="005F7F"/>
      </a:dk1>
      <a:lt1>
        <a:srgbClr val="FFFFFF"/>
      </a:lt1>
      <a:dk2>
        <a:srgbClr val="53565A"/>
      </a:dk2>
      <a:lt2>
        <a:srgbClr val="FFA300"/>
      </a:lt2>
      <a:accent1>
        <a:srgbClr val="38207C"/>
      </a:accent1>
      <a:accent2>
        <a:srgbClr val="009BBB"/>
      </a:accent2>
      <a:accent3>
        <a:srgbClr val="00AB8E"/>
      </a:accent3>
      <a:accent4>
        <a:srgbClr val="E56954"/>
      </a:accent4>
      <a:accent5>
        <a:srgbClr val="EDE04B"/>
      </a:accent5>
      <a:accent6>
        <a:srgbClr val="BBBCBC"/>
      </a:accent6>
      <a:hlink>
        <a:srgbClr val="005F7F"/>
      </a:hlink>
      <a:folHlink>
        <a:srgbClr val="009BBB"/>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3970" cap="rnd">
          <a:solidFill>
            <a:schemeClr val="tx1"/>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Canaccord Colour theme" id="{EF632B70-981A-EA4C-80E7-CCBE2399C3F8}" vid="{30941A0D-C270-0C4C-A2C5-088B97C19500}"/>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CGWMTemplate2020</dc:title>
  <dc:subject/>
  <dc:creator>Turley, Maxine</dc:creator>
  <cp:keywords/>
  <dc:description/>
  <cp:lastModifiedBy>Turley, Maxine</cp:lastModifiedBy>
  <cp:revision>1</cp:revision>
  <dcterms:created xsi:type="dcterms:W3CDTF">2021-02-09T09:58:00Z</dcterms:created>
  <dcterms:modified xsi:type="dcterms:W3CDTF">2021-02-09T09:58:00Z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4bed8-1d92-46d0-83ba-5d38f47538a0_Enabled">
    <vt:lpwstr>true</vt:lpwstr>
  </property>
  <property fmtid="{D5CDD505-2E9C-101B-9397-08002B2CF9AE}" pid="3" name="MSIP_Label_d714bed8-1d92-46d0-83ba-5d38f47538a0_SetDate">
    <vt:lpwstr>2021-02-09T09:58:13Z</vt:lpwstr>
  </property>
  <property fmtid="{D5CDD505-2E9C-101B-9397-08002B2CF9AE}" pid="4" name="MSIP_Label_d714bed8-1d92-46d0-83ba-5d38f47538a0_Method">
    <vt:lpwstr>Standard</vt:lpwstr>
  </property>
  <property fmtid="{D5CDD505-2E9C-101B-9397-08002B2CF9AE}" pid="5" name="MSIP_Label_d714bed8-1d92-46d0-83ba-5d38f47538a0_Name">
    <vt:lpwstr>Public</vt:lpwstr>
  </property>
  <property fmtid="{D5CDD505-2E9C-101B-9397-08002B2CF9AE}" pid="6" name="MSIP_Label_d714bed8-1d92-46d0-83ba-5d38f47538a0_SiteId">
    <vt:lpwstr>55a8d9e9-da72-4987-ac28-51b3b5add15f</vt:lpwstr>
  </property>
  <property fmtid="{D5CDD505-2E9C-101B-9397-08002B2CF9AE}" pid="7" name="MSIP_Label_d714bed8-1d92-46d0-83ba-5d38f47538a0_ActionId">
    <vt:lpwstr>927d2e9b-07ab-495f-a298-37907d2b2828</vt:lpwstr>
  </property>
  <property fmtid="{D5CDD505-2E9C-101B-9397-08002B2CF9AE}" pid="8" name="MSIP_Label_d714bed8-1d92-46d0-83ba-5d38f47538a0_ContentBits">
    <vt:lpwstr>0</vt:lpwstr>
  </property>
</Properties>
</file>